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BF" w:rsidRPr="0021027C" w:rsidRDefault="0021027C" w:rsidP="00084D32">
      <w:pPr>
        <w:snapToGrid w:val="0"/>
        <w:spacing w:before="100" w:beforeAutospacing="1" w:afterLines="100" w:line="480" w:lineRule="exact"/>
        <w:jc w:val="center"/>
        <w:rPr>
          <w:rFonts w:ascii="方正小标宋简体" w:eastAsia="方正小标宋简体"/>
          <w:b/>
          <w:sz w:val="36"/>
        </w:rPr>
      </w:pPr>
      <w:bookmarkStart w:id="0" w:name="_GoBack"/>
      <w:bookmarkEnd w:id="0"/>
      <w:r w:rsidRPr="0021027C">
        <w:rPr>
          <w:rFonts w:ascii="方正小标宋简体" w:eastAsia="方正小标宋简体" w:hAnsi="宋体" w:cs="宋体" w:hint="eastAsia"/>
          <w:kern w:val="0"/>
          <w:sz w:val="32"/>
          <w:szCs w:val="32"/>
        </w:rPr>
        <w:t>培养方案形式审核要点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850"/>
        <w:gridCol w:w="6856"/>
      </w:tblGrid>
      <w:tr w:rsidR="00ED75BF" w:rsidTr="00C54FE3">
        <w:trPr>
          <w:trHeight w:val="453"/>
          <w:jc w:val="center"/>
        </w:trPr>
        <w:tc>
          <w:tcPr>
            <w:tcW w:w="1387" w:type="dxa"/>
          </w:tcPr>
          <w:p w:rsidR="00ED75BF" w:rsidRDefault="00715D60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sz w:val="28"/>
                <w:szCs w:val="24"/>
              </w:rPr>
              <w:t>内容</w:t>
            </w:r>
          </w:p>
        </w:tc>
        <w:tc>
          <w:tcPr>
            <w:tcW w:w="850" w:type="dxa"/>
            <w:vAlign w:val="center"/>
          </w:tcPr>
          <w:p w:rsidR="00ED75BF" w:rsidRDefault="00595F74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6856" w:type="dxa"/>
            <w:vAlign w:val="center"/>
          </w:tcPr>
          <w:p w:rsidR="00ED75BF" w:rsidRDefault="00595F74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sz w:val="28"/>
                <w:szCs w:val="24"/>
              </w:rPr>
              <w:t>注意事项</w:t>
            </w:r>
          </w:p>
        </w:tc>
      </w:tr>
      <w:tr w:rsidR="00C54FE3" w:rsidTr="00C54FE3">
        <w:trPr>
          <w:trHeight w:val="1385"/>
          <w:jc w:val="center"/>
        </w:trPr>
        <w:tc>
          <w:tcPr>
            <w:tcW w:w="1387" w:type="dxa"/>
            <w:vAlign w:val="center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课程信息规范性</w:t>
            </w:r>
          </w:p>
        </w:tc>
        <w:tc>
          <w:tcPr>
            <w:tcW w:w="850" w:type="dxa"/>
            <w:vAlign w:val="center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1</w:t>
            </w:r>
          </w:p>
        </w:tc>
        <w:tc>
          <w:tcPr>
            <w:tcW w:w="6856" w:type="dxa"/>
            <w:vAlign w:val="center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课程编码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、课程名称准确并与课程库信息中一致。</w:t>
            </w:r>
          </w:p>
        </w:tc>
      </w:tr>
      <w:tr w:rsidR="00C54FE3" w:rsidTr="00C54FE3">
        <w:trPr>
          <w:trHeight w:val="287"/>
          <w:jc w:val="center"/>
        </w:trPr>
        <w:tc>
          <w:tcPr>
            <w:tcW w:w="1387" w:type="dxa"/>
            <w:vMerge w:val="restart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表十二课程体系</w:t>
            </w: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毕业总学分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与通识教育课、学科平台课、专业教育课、第二课堂</w:t>
            </w:r>
            <w:r>
              <w:rPr>
                <w:rFonts w:eastAsia="仿宋_GB2312"/>
                <w:kern w:val="0"/>
                <w:sz w:val="28"/>
                <w:szCs w:val="24"/>
              </w:rPr>
              <w:t>学分要求之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和相等。</w:t>
            </w:r>
          </w:p>
        </w:tc>
      </w:tr>
      <w:tr w:rsidR="00C54FE3" w:rsidTr="00C54FE3">
        <w:trPr>
          <w:trHeight w:val="287"/>
          <w:jc w:val="center"/>
        </w:trPr>
        <w:tc>
          <w:tcPr>
            <w:tcW w:w="1387" w:type="dxa"/>
            <w:vMerge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各类别课程学分小计与各类别课程应修</w:t>
            </w:r>
            <w:r>
              <w:rPr>
                <w:rFonts w:eastAsia="仿宋_GB2312"/>
                <w:kern w:val="0"/>
                <w:sz w:val="28"/>
                <w:szCs w:val="24"/>
              </w:rPr>
              <w:t>学分要求之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和相等。</w:t>
            </w:r>
          </w:p>
        </w:tc>
      </w:tr>
      <w:tr w:rsidR="00C54FE3" w:rsidTr="00C54FE3">
        <w:trPr>
          <w:trHeight w:val="340"/>
          <w:jc w:val="center"/>
        </w:trPr>
        <w:tc>
          <w:tcPr>
            <w:tcW w:w="1387" w:type="dxa"/>
            <w:vMerge w:val="restart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表十三指导性教学计划</w:t>
            </w:r>
          </w:p>
        </w:tc>
        <w:tc>
          <w:tcPr>
            <w:tcW w:w="850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6856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根据表十二，准确归类各学期所开必修课程与必修环节</w:t>
            </w:r>
          </w:p>
        </w:tc>
      </w:tr>
      <w:tr w:rsidR="00C54FE3" w:rsidTr="00C54FE3">
        <w:trPr>
          <w:trHeight w:val="340"/>
          <w:jc w:val="center"/>
        </w:trPr>
        <w:tc>
          <w:tcPr>
            <w:tcW w:w="1387" w:type="dxa"/>
            <w:vMerge/>
            <w:vAlign w:val="center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6856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各学期学分小计和学时小计应与该学期所列课程和教学环节学分、学时加和相等。</w:t>
            </w:r>
          </w:p>
        </w:tc>
      </w:tr>
      <w:tr w:rsidR="00C54FE3" w:rsidTr="00C54FE3">
        <w:trPr>
          <w:trHeight w:val="340"/>
          <w:jc w:val="center"/>
        </w:trPr>
        <w:tc>
          <w:tcPr>
            <w:tcW w:w="1387" w:type="dxa"/>
            <w:vMerge w:val="restart"/>
            <w:vAlign w:val="center"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表十四培养要求矩阵表</w:t>
            </w:r>
          </w:p>
        </w:tc>
        <w:tc>
          <w:tcPr>
            <w:tcW w:w="850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6856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矩阵表中培养要求类别与分项应与培养要求一致</w:t>
            </w:r>
          </w:p>
        </w:tc>
      </w:tr>
      <w:tr w:rsidR="00C54FE3" w:rsidTr="00C54FE3">
        <w:trPr>
          <w:trHeight w:val="340"/>
          <w:jc w:val="center"/>
        </w:trPr>
        <w:tc>
          <w:tcPr>
            <w:tcW w:w="1387" w:type="dxa"/>
            <w:vMerge/>
          </w:tcPr>
          <w:p w:rsidR="00C54FE3" w:rsidRDefault="00C54FE3" w:rsidP="00C54FE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6856" w:type="dxa"/>
            <w:vAlign w:val="center"/>
          </w:tcPr>
          <w:p w:rsidR="00C54FE3" w:rsidRDefault="00C54FE3" w:rsidP="009D2203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课程逐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门列明，且对应培养要求分项准确无误。</w:t>
            </w:r>
          </w:p>
        </w:tc>
      </w:tr>
      <w:tr w:rsidR="00C54FE3" w:rsidTr="00C54FE3">
        <w:trPr>
          <w:trHeight w:val="340"/>
          <w:jc w:val="center"/>
        </w:trPr>
        <w:tc>
          <w:tcPr>
            <w:tcW w:w="1387" w:type="dxa"/>
            <w:vMerge w:val="restart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表十五课程关系图</w:t>
            </w: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课程关系图中应包含专业开设所有课程及实践教学环节。</w:t>
            </w:r>
          </w:p>
        </w:tc>
      </w:tr>
      <w:tr w:rsidR="00C54FE3" w:rsidTr="00C54FE3">
        <w:trPr>
          <w:trHeight w:val="555"/>
          <w:jc w:val="center"/>
        </w:trPr>
        <w:tc>
          <w:tcPr>
            <w:tcW w:w="1387" w:type="dxa"/>
            <w:vMerge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页边距设置：上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2cm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，下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2cm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，左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2.5cm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，右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2.5cm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。</w:t>
            </w:r>
          </w:p>
        </w:tc>
      </w:tr>
      <w:tr w:rsidR="00C54FE3" w:rsidTr="00C54FE3">
        <w:trPr>
          <w:trHeight w:val="555"/>
          <w:jc w:val="center"/>
        </w:trPr>
        <w:tc>
          <w:tcPr>
            <w:tcW w:w="1387" w:type="dxa"/>
            <w:vMerge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培养方案基本信息（教学计划前的文字部分）中所列专业</w:t>
            </w:r>
            <w:r>
              <w:rPr>
                <w:rFonts w:eastAsia="仿宋_GB2312"/>
                <w:kern w:val="0"/>
                <w:sz w:val="28"/>
                <w:szCs w:val="24"/>
              </w:rPr>
              <w:t>基础课程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（含学科大类基础课程和专业基础课程）</w:t>
            </w:r>
            <w:r>
              <w:rPr>
                <w:rFonts w:eastAsia="仿宋_GB2312"/>
                <w:kern w:val="0"/>
                <w:sz w:val="28"/>
                <w:szCs w:val="24"/>
              </w:rPr>
              <w:t>、专业核心课程与教学计划中相应课程一致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。</w:t>
            </w:r>
          </w:p>
        </w:tc>
      </w:tr>
      <w:tr w:rsidR="00C54FE3" w:rsidTr="00C54FE3">
        <w:trPr>
          <w:trHeight w:val="555"/>
          <w:jc w:val="center"/>
        </w:trPr>
        <w:tc>
          <w:tcPr>
            <w:tcW w:w="1387" w:type="dxa"/>
            <w:vMerge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jc w:val="center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6856" w:type="dxa"/>
            <w:vAlign w:val="center"/>
          </w:tcPr>
          <w:p w:rsidR="00C54FE3" w:rsidRDefault="00C54FE3" w:rsidP="00084D32">
            <w:pPr>
              <w:adjustRightInd w:val="0"/>
              <w:snapToGrid w:val="0"/>
              <w:spacing w:afterLines="50" w:line="480" w:lineRule="exac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专业实践课程只包括各类专业生产实习、毕业实习、毕业论文（设计）环节。</w:t>
            </w:r>
          </w:p>
        </w:tc>
      </w:tr>
    </w:tbl>
    <w:p w:rsidR="00ED75BF" w:rsidRDefault="00ED75BF"/>
    <w:sectPr w:rsidR="00ED75BF" w:rsidSect="003E3C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9C" w:rsidRDefault="001B789C">
      <w:r>
        <w:separator/>
      </w:r>
    </w:p>
  </w:endnote>
  <w:endnote w:type="continuationSeparator" w:id="1">
    <w:p w:rsidR="001B789C" w:rsidRDefault="001B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BF" w:rsidRDefault="00ED75B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9C" w:rsidRDefault="001B789C">
      <w:r>
        <w:separator/>
      </w:r>
    </w:p>
  </w:footnote>
  <w:footnote w:type="continuationSeparator" w:id="1">
    <w:p w:rsidR="001B789C" w:rsidRDefault="001B7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35B"/>
    <w:rsid w:val="000051C8"/>
    <w:rsid w:val="00012C85"/>
    <w:rsid w:val="000136EA"/>
    <w:rsid w:val="000153FE"/>
    <w:rsid w:val="000201A9"/>
    <w:rsid w:val="00022793"/>
    <w:rsid w:val="0002750B"/>
    <w:rsid w:val="0003018F"/>
    <w:rsid w:val="00034166"/>
    <w:rsid w:val="00037A58"/>
    <w:rsid w:val="0004198D"/>
    <w:rsid w:val="0004248D"/>
    <w:rsid w:val="00042F07"/>
    <w:rsid w:val="00050894"/>
    <w:rsid w:val="00051D95"/>
    <w:rsid w:val="00052B81"/>
    <w:rsid w:val="00056A0D"/>
    <w:rsid w:val="000654B6"/>
    <w:rsid w:val="00072615"/>
    <w:rsid w:val="000750FE"/>
    <w:rsid w:val="00083D86"/>
    <w:rsid w:val="00084CB2"/>
    <w:rsid w:val="00084D32"/>
    <w:rsid w:val="00086F08"/>
    <w:rsid w:val="000872BE"/>
    <w:rsid w:val="000915E3"/>
    <w:rsid w:val="00091F7F"/>
    <w:rsid w:val="00096F4B"/>
    <w:rsid w:val="0009745B"/>
    <w:rsid w:val="000A20F7"/>
    <w:rsid w:val="000A2CA0"/>
    <w:rsid w:val="000A693F"/>
    <w:rsid w:val="000A6F2F"/>
    <w:rsid w:val="000B5338"/>
    <w:rsid w:val="000B5D44"/>
    <w:rsid w:val="000B6328"/>
    <w:rsid w:val="000C1340"/>
    <w:rsid w:val="000C2D70"/>
    <w:rsid w:val="000C3DD8"/>
    <w:rsid w:val="000C4C78"/>
    <w:rsid w:val="000D4487"/>
    <w:rsid w:val="000D5721"/>
    <w:rsid w:val="000D7F62"/>
    <w:rsid w:val="000E01BE"/>
    <w:rsid w:val="000E7CEA"/>
    <w:rsid w:val="000F2A91"/>
    <w:rsid w:val="000F48EB"/>
    <w:rsid w:val="000F75FA"/>
    <w:rsid w:val="00100B4C"/>
    <w:rsid w:val="00100B68"/>
    <w:rsid w:val="00101A0B"/>
    <w:rsid w:val="00102F2B"/>
    <w:rsid w:val="00111F7B"/>
    <w:rsid w:val="00115535"/>
    <w:rsid w:val="001277AB"/>
    <w:rsid w:val="0013110D"/>
    <w:rsid w:val="0013242E"/>
    <w:rsid w:val="00133D7E"/>
    <w:rsid w:val="0013422F"/>
    <w:rsid w:val="001413F1"/>
    <w:rsid w:val="0014341A"/>
    <w:rsid w:val="001534BD"/>
    <w:rsid w:val="001546A6"/>
    <w:rsid w:val="00157C14"/>
    <w:rsid w:val="001644EE"/>
    <w:rsid w:val="001645BB"/>
    <w:rsid w:val="00165D7B"/>
    <w:rsid w:val="00180535"/>
    <w:rsid w:val="00182E26"/>
    <w:rsid w:val="00190083"/>
    <w:rsid w:val="001966C0"/>
    <w:rsid w:val="001A086D"/>
    <w:rsid w:val="001A111B"/>
    <w:rsid w:val="001A2F83"/>
    <w:rsid w:val="001A3ACC"/>
    <w:rsid w:val="001A74E7"/>
    <w:rsid w:val="001B22A4"/>
    <w:rsid w:val="001B4D1E"/>
    <w:rsid w:val="001B66C5"/>
    <w:rsid w:val="001B789C"/>
    <w:rsid w:val="001C0F4D"/>
    <w:rsid w:val="001C1968"/>
    <w:rsid w:val="001C1CE4"/>
    <w:rsid w:val="001C1F90"/>
    <w:rsid w:val="001C51BC"/>
    <w:rsid w:val="001F036B"/>
    <w:rsid w:val="001F1529"/>
    <w:rsid w:val="001F3D4B"/>
    <w:rsid w:val="001F6989"/>
    <w:rsid w:val="0021027C"/>
    <w:rsid w:val="00222728"/>
    <w:rsid w:val="002237F3"/>
    <w:rsid w:val="00225D8B"/>
    <w:rsid w:val="00227F6C"/>
    <w:rsid w:val="00234587"/>
    <w:rsid w:val="002376BB"/>
    <w:rsid w:val="00242807"/>
    <w:rsid w:val="002430A1"/>
    <w:rsid w:val="002463C7"/>
    <w:rsid w:val="002502FB"/>
    <w:rsid w:val="002518F0"/>
    <w:rsid w:val="002535CA"/>
    <w:rsid w:val="002555E9"/>
    <w:rsid w:val="00260238"/>
    <w:rsid w:val="00260648"/>
    <w:rsid w:val="00260AA4"/>
    <w:rsid w:val="00263CA9"/>
    <w:rsid w:val="00265416"/>
    <w:rsid w:val="00265783"/>
    <w:rsid w:val="00266867"/>
    <w:rsid w:val="0027152B"/>
    <w:rsid w:val="00271BD7"/>
    <w:rsid w:val="00272A3E"/>
    <w:rsid w:val="00277FE3"/>
    <w:rsid w:val="0028283E"/>
    <w:rsid w:val="002840C4"/>
    <w:rsid w:val="00287D80"/>
    <w:rsid w:val="00287DD9"/>
    <w:rsid w:val="00291E79"/>
    <w:rsid w:val="002933DA"/>
    <w:rsid w:val="002943C3"/>
    <w:rsid w:val="002A4877"/>
    <w:rsid w:val="002A5DAA"/>
    <w:rsid w:val="002B04C0"/>
    <w:rsid w:val="002B0A92"/>
    <w:rsid w:val="002C2528"/>
    <w:rsid w:val="002C7E95"/>
    <w:rsid w:val="002D24E2"/>
    <w:rsid w:val="002D37B8"/>
    <w:rsid w:val="002D66B6"/>
    <w:rsid w:val="002D6C12"/>
    <w:rsid w:val="002E0A72"/>
    <w:rsid w:val="002E0F30"/>
    <w:rsid w:val="002E74A6"/>
    <w:rsid w:val="002E7D2A"/>
    <w:rsid w:val="002F2DCC"/>
    <w:rsid w:val="002F6FC4"/>
    <w:rsid w:val="002F7634"/>
    <w:rsid w:val="003005E0"/>
    <w:rsid w:val="00300DB9"/>
    <w:rsid w:val="00311BA2"/>
    <w:rsid w:val="003139FF"/>
    <w:rsid w:val="00315584"/>
    <w:rsid w:val="00320BA1"/>
    <w:rsid w:val="0032130D"/>
    <w:rsid w:val="0032202E"/>
    <w:rsid w:val="00323299"/>
    <w:rsid w:val="00335946"/>
    <w:rsid w:val="00336F4C"/>
    <w:rsid w:val="00337BA5"/>
    <w:rsid w:val="00337E8B"/>
    <w:rsid w:val="003436D6"/>
    <w:rsid w:val="00344BCE"/>
    <w:rsid w:val="00353A35"/>
    <w:rsid w:val="00361812"/>
    <w:rsid w:val="003654B5"/>
    <w:rsid w:val="003670FB"/>
    <w:rsid w:val="003721BA"/>
    <w:rsid w:val="00375CC2"/>
    <w:rsid w:val="00376B81"/>
    <w:rsid w:val="00377127"/>
    <w:rsid w:val="00384DAA"/>
    <w:rsid w:val="00385DF8"/>
    <w:rsid w:val="00390025"/>
    <w:rsid w:val="00392F79"/>
    <w:rsid w:val="00393968"/>
    <w:rsid w:val="00396A65"/>
    <w:rsid w:val="00397369"/>
    <w:rsid w:val="003977E8"/>
    <w:rsid w:val="003A0C59"/>
    <w:rsid w:val="003A1DC4"/>
    <w:rsid w:val="003A44E6"/>
    <w:rsid w:val="003A7BE1"/>
    <w:rsid w:val="003B1A2E"/>
    <w:rsid w:val="003C0EB7"/>
    <w:rsid w:val="003C3D8E"/>
    <w:rsid w:val="003C4CE9"/>
    <w:rsid w:val="003D2359"/>
    <w:rsid w:val="003E3C4E"/>
    <w:rsid w:val="003E7033"/>
    <w:rsid w:val="003F013E"/>
    <w:rsid w:val="003F234A"/>
    <w:rsid w:val="003F5076"/>
    <w:rsid w:val="003F5D05"/>
    <w:rsid w:val="00400476"/>
    <w:rsid w:val="00400508"/>
    <w:rsid w:val="00402B4F"/>
    <w:rsid w:val="00405519"/>
    <w:rsid w:val="0040594B"/>
    <w:rsid w:val="004109FA"/>
    <w:rsid w:val="00416EA5"/>
    <w:rsid w:val="00421DF9"/>
    <w:rsid w:val="00421E7A"/>
    <w:rsid w:val="00425385"/>
    <w:rsid w:val="0043056C"/>
    <w:rsid w:val="0043237A"/>
    <w:rsid w:val="00433AED"/>
    <w:rsid w:val="00436548"/>
    <w:rsid w:val="00442BD5"/>
    <w:rsid w:val="00442FD1"/>
    <w:rsid w:val="004464C5"/>
    <w:rsid w:val="004466C2"/>
    <w:rsid w:val="00454844"/>
    <w:rsid w:val="00455160"/>
    <w:rsid w:val="0045630D"/>
    <w:rsid w:val="0045741E"/>
    <w:rsid w:val="0046386B"/>
    <w:rsid w:val="00464D37"/>
    <w:rsid w:val="004658C9"/>
    <w:rsid w:val="00466E3A"/>
    <w:rsid w:val="00467EC7"/>
    <w:rsid w:val="00473BAA"/>
    <w:rsid w:val="00481609"/>
    <w:rsid w:val="00484E37"/>
    <w:rsid w:val="00491250"/>
    <w:rsid w:val="00493EA1"/>
    <w:rsid w:val="004A241E"/>
    <w:rsid w:val="004A4106"/>
    <w:rsid w:val="004B67B8"/>
    <w:rsid w:val="004B714E"/>
    <w:rsid w:val="004B735B"/>
    <w:rsid w:val="004C52B8"/>
    <w:rsid w:val="004C6EE5"/>
    <w:rsid w:val="004D4544"/>
    <w:rsid w:val="004D461B"/>
    <w:rsid w:val="004D57FD"/>
    <w:rsid w:val="004D708F"/>
    <w:rsid w:val="004E2F1F"/>
    <w:rsid w:val="004E373B"/>
    <w:rsid w:val="004E7BFA"/>
    <w:rsid w:val="004F2B4D"/>
    <w:rsid w:val="004F4888"/>
    <w:rsid w:val="004F4DBC"/>
    <w:rsid w:val="004F7F50"/>
    <w:rsid w:val="00507CC0"/>
    <w:rsid w:val="00513FC9"/>
    <w:rsid w:val="005159A4"/>
    <w:rsid w:val="005165AF"/>
    <w:rsid w:val="00517A75"/>
    <w:rsid w:val="00520028"/>
    <w:rsid w:val="005226DB"/>
    <w:rsid w:val="0052402F"/>
    <w:rsid w:val="005320FA"/>
    <w:rsid w:val="00535498"/>
    <w:rsid w:val="00536EB3"/>
    <w:rsid w:val="00543127"/>
    <w:rsid w:val="00551D4C"/>
    <w:rsid w:val="0055309D"/>
    <w:rsid w:val="005534C7"/>
    <w:rsid w:val="00557997"/>
    <w:rsid w:val="00560252"/>
    <w:rsid w:val="00567127"/>
    <w:rsid w:val="0056747D"/>
    <w:rsid w:val="00567EC3"/>
    <w:rsid w:val="00570757"/>
    <w:rsid w:val="0057130F"/>
    <w:rsid w:val="0057160D"/>
    <w:rsid w:val="00573F9F"/>
    <w:rsid w:val="00574B49"/>
    <w:rsid w:val="00575D7A"/>
    <w:rsid w:val="005761E4"/>
    <w:rsid w:val="005774F6"/>
    <w:rsid w:val="00582678"/>
    <w:rsid w:val="00591EDE"/>
    <w:rsid w:val="00593B13"/>
    <w:rsid w:val="00595F74"/>
    <w:rsid w:val="005A1DA5"/>
    <w:rsid w:val="005A562B"/>
    <w:rsid w:val="005A6FAE"/>
    <w:rsid w:val="005B1E8B"/>
    <w:rsid w:val="005B3B4A"/>
    <w:rsid w:val="005B3D6E"/>
    <w:rsid w:val="005B5B19"/>
    <w:rsid w:val="005C31D5"/>
    <w:rsid w:val="005E0638"/>
    <w:rsid w:val="005E100D"/>
    <w:rsid w:val="005E723F"/>
    <w:rsid w:val="005F3D98"/>
    <w:rsid w:val="00601CDA"/>
    <w:rsid w:val="00602F1C"/>
    <w:rsid w:val="00605A5C"/>
    <w:rsid w:val="00607D88"/>
    <w:rsid w:val="00607E18"/>
    <w:rsid w:val="0061253E"/>
    <w:rsid w:val="00612F83"/>
    <w:rsid w:val="00630D75"/>
    <w:rsid w:val="006368DB"/>
    <w:rsid w:val="006457D8"/>
    <w:rsid w:val="006527A6"/>
    <w:rsid w:val="0065344B"/>
    <w:rsid w:val="00661431"/>
    <w:rsid w:val="00661591"/>
    <w:rsid w:val="00661AC2"/>
    <w:rsid w:val="00663803"/>
    <w:rsid w:val="00667EB9"/>
    <w:rsid w:val="006745FC"/>
    <w:rsid w:val="00677A32"/>
    <w:rsid w:val="00677FBC"/>
    <w:rsid w:val="0068008A"/>
    <w:rsid w:val="0068039F"/>
    <w:rsid w:val="00684B15"/>
    <w:rsid w:val="00686077"/>
    <w:rsid w:val="00696FFB"/>
    <w:rsid w:val="006A02B4"/>
    <w:rsid w:val="006A05EB"/>
    <w:rsid w:val="006A7254"/>
    <w:rsid w:val="006B29A4"/>
    <w:rsid w:val="006B4E70"/>
    <w:rsid w:val="006C13FF"/>
    <w:rsid w:val="006D5091"/>
    <w:rsid w:val="006D7E5F"/>
    <w:rsid w:val="006E2028"/>
    <w:rsid w:val="006E77AD"/>
    <w:rsid w:val="006F51AF"/>
    <w:rsid w:val="00701DEA"/>
    <w:rsid w:val="007115C8"/>
    <w:rsid w:val="00711E95"/>
    <w:rsid w:val="00715D60"/>
    <w:rsid w:val="00717067"/>
    <w:rsid w:val="00717094"/>
    <w:rsid w:val="00717803"/>
    <w:rsid w:val="00741805"/>
    <w:rsid w:val="0075533A"/>
    <w:rsid w:val="0076529D"/>
    <w:rsid w:val="00766325"/>
    <w:rsid w:val="00772FFC"/>
    <w:rsid w:val="007730CF"/>
    <w:rsid w:val="0077383C"/>
    <w:rsid w:val="0077656B"/>
    <w:rsid w:val="00777D65"/>
    <w:rsid w:val="00780905"/>
    <w:rsid w:val="007819AC"/>
    <w:rsid w:val="00786A9E"/>
    <w:rsid w:val="00793B3E"/>
    <w:rsid w:val="007A00F1"/>
    <w:rsid w:val="007A0AA6"/>
    <w:rsid w:val="007B2EF0"/>
    <w:rsid w:val="007C42F7"/>
    <w:rsid w:val="007C6CD5"/>
    <w:rsid w:val="007D17FF"/>
    <w:rsid w:val="007E5B44"/>
    <w:rsid w:val="007F5652"/>
    <w:rsid w:val="008050AB"/>
    <w:rsid w:val="00813F8B"/>
    <w:rsid w:val="00820757"/>
    <w:rsid w:val="0082710A"/>
    <w:rsid w:val="00831AAE"/>
    <w:rsid w:val="00837F47"/>
    <w:rsid w:val="00844266"/>
    <w:rsid w:val="0085353A"/>
    <w:rsid w:val="00855C01"/>
    <w:rsid w:val="00855FDB"/>
    <w:rsid w:val="00856CA0"/>
    <w:rsid w:val="00860EFF"/>
    <w:rsid w:val="00863000"/>
    <w:rsid w:val="0087260A"/>
    <w:rsid w:val="00873612"/>
    <w:rsid w:val="008750F5"/>
    <w:rsid w:val="0087516C"/>
    <w:rsid w:val="00875E53"/>
    <w:rsid w:val="008768C7"/>
    <w:rsid w:val="00880EA9"/>
    <w:rsid w:val="00883B9A"/>
    <w:rsid w:val="00885A26"/>
    <w:rsid w:val="00892121"/>
    <w:rsid w:val="00895354"/>
    <w:rsid w:val="00895F9E"/>
    <w:rsid w:val="008A0584"/>
    <w:rsid w:val="008A5387"/>
    <w:rsid w:val="008A5E97"/>
    <w:rsid w:val="008A64FE"/>
    <w:rsid w:val="008B0154"/>
    <w:rsid w:val="008B71EA"/>
    <w:rsid w:val="008C0023"/>
    <w:rsid w:val="008C0644"/>
    <w:rsid w:val="008C27B7"/>
    <w:rsid w:val="008D1565"/>
    <w:rsid w:val="008D25C3"/>
    <w:rsid w:val="008D4E9B"/>
    <w:rsid w:val="008E12FC"/>
    <w:rsid w:val="008E1961"/>
    <w:rsid w:val="008E2305"/>
    <w:rsid w:val="008E3E5C"/>
    <w:rsid w:val="008E428C"/>
    <w:rsid w:val="008E6282"/>
    <w:rsid w:val="008F2FFA"/>
    <w:rsid w:val="008F33E1"/>
    <w:rsid w:val="00901FED"/>
    <w:rsid w:val="0090473E"/>
    <w:rsid w:val="009066F8"/>
    <w:rsid w:val="00923988"/>
    <w:rsid w:val="00942353"/>
    <w:rsid w:val="00942AAD"/>
    <w:rsid w:val="00944A56"/>
    <w:rsid w:val="0094532C"/>
    <w:rsid w:val="00945DF8"/>
    <w:rsid w:val="009513AC"/>
    <w:rsid w:val="0095260C"/>
    <w:rsid w:val="009664C7"/>
    <w:rsid w:val="0097009F"/>
    <w:rsid w:val="00973FD3"/>
    <w:rsid w:val="009755D0"/>
    <w:rsid w:val="009817C4"/>
    <w:rsid w:val="009909A6"/>
    <w:rsid w:val="00993BB1"/>
    <w:rsid w:val="00996481"/>
    <w:rsid w:val="0099677B"/>
    <w:rsid w:val="009A2D98"/>
    <w:rsid w:val="009A6F41"/>
    <w:rsid w:val="009B517C"/>
    <w:rsid w:val="009B659B"/>
    <w:rsid w:val="009C005C"/>
    <w:rsid w:val="009C0695"/>
    <w:rsid w:val="009C3B6B"/>
    <w:rsid w:val="009C5F13"/>
    <w:rsid w:val="009D0255"/>
    <w:rsid w:val="009D78B6"/>
    <w:rsid w:val="009F4832"/>
    <w:rsid w:val="009F618D"/>
    <w:rsid w:val="00A07706"/>
    <w:rsid w:val="00A1554A"/>
    <w:rsid w:val="00A1560C"/>
    <w:rsid w:val="00A25EA5"/>
    <w:rsid w:val="00A35486"/>
    <w:rsid w:val="00A50330"/>
    <w:rsid w:val="00A578AD"/>
    <w:rsid w:val="00A61C0D"/>
    <w:rsid w:val="00A662BF"/>
    <w:rsid w:val="00A847F0"/>
    <w:rsid w:val="00A8560F"/>
    <w:rsid w:val="00A87237"/>
    <w:rsid w:val="00A879CC"/>
    <w:rsid w:val="00A97CFB"/>
    <w:rsid w:val="00AA59C9"/>
    <w:rsid w:val="00AA6C2F"/>
    <w:rsid w:val="00AA6DCF"/>
    <w:rsid w:val="00AB3DDB"/>
    <w:rsid w:val="00AB6CBE"/>
    <w:rsid w:val="00AC026A"/>
    <w:rsid w:val="00AC5EF9"/>
    <w:rsid w:val="00AC7353"/>
    <w:rsid w:val="00AD26AC"/>
    <w:rsid w:val="00AD4677"/>
    <w:rsid w:val="00AE1AB0"/>
    <w:rsid w:val="00AE1D55"/>
    <w:rsid w:val="00AE3FAE"/>
    <w:rsid w:val="00AE7274"/>
    <w:rsid w:val="00B00AB5"/>
    <w:rsid w:val="00B037CA"/>
    <w:rsid w:val="00B0698B"/>
    <w:rsid w:val="00B21323"/>
    <w:rsid w:val="00B22ACD"/>
    <w:rsid w:val="00B32C48"/>
    <w:rsid w:val="00B35286"/>
    <w:rsid w:val="00B36C26"/>
    <w:rsid w:val="00B5349E"/>
    <w:rsid w:val="00B54BAF"/>
    <w:rsid w:val="00B5654E"/>
    <w:rsid w:val="00B571C5"/>
    <w:rsid w:val="00B60E41"/>
    <w:rsid w:val="00B6410D"/>
    <w:rsid w:val="00B6512F"/>
    <w:rsid w:val="00B66086"/>
    <w:rsid w:val="00B66180"/>
    <w:rsid w:val="00B66216"/>
    <w:rsid w:val="00B70F6B"/>
    <w:rsid w:val="00B73B86"/>
    <w:rsid w:val="00B74566"/>
    <w:rsid w:val="00B7745B"/>
    <w:rsid w:val="00B81BF6"/>
    <w:rsid w:val="00B907B2"/>
    <w:rsid w:val="00B90CED"/>
    <w:rsid w:val="00B911B5"/>
    <w:rsid w:val="00B95EDE"/>
    <w:rsid w:val="00B97664"/>
    <w:rsid w:val="00BA3907"/>
    <w:rsid w:val="00BA3BD2"/>
    <w:rsid w:val="00BA49EE"/>
    <w:rsid w:val="00BB0E81"/>
    <w:rsid w:val="00BB2F7E"/>
    <w:rsid w:val="00BB34B7"/>
    <w:rsid w:val="00BB48C1"/>
    <w:rsid w:val="00BB676C"/>
    <w:rsid w:val="00BB73CF"/>
    <w:rsid w:val="00BC274E"/>
    <w:rsid w:val="00BC4AC9"/>
    <w:rsid w:val="00BD093F"/>
    <w:rsid w:val="00BD0B97"/>
    <w:rsid w:val="00BD320A"/>
    <w:rsid w:val="00BD54B2"/>
    <w:rsid w:val="00BD6498"/>
    <w:rsid w:val="00BD735B"/>
    <w:rsid w:val="00BE0EB5"/>
    <w:rsid w:val="00BE1098"/>
    <w:rsid w:val="00BE1A64"/>
    <w:rsid w:val="00BE3CC5"/>
    <w:rsid w:val="00BE4F27"/>
    <w:rsid w:val="00BE54A7"/>
    <w:rsid w:val="00BF0D53"/>
    <w:rsid w:val="00BF7A4E"/>
    <w:rsid w:val="00BF7B4C"/>
    <w:rsid w:val="00C01210"/>
    <w:rsid w:val="00C05721"/>
    <w:rsid w:val="00C06C6D"/>
    <w:rsid w:val="00C14D4E"/>
    <w:rsid w:val="00C23883"/>
    <w:rsid w:val="00C26AD1"/>
    <w:rsid w:val="00C27F08"/>
    <w:rsid w:val="00C3049E"/>
    <w:rsid w:val="00C356C1"/>
    <w:rsid w:val="00C4068B"/>
    <w:rsid w:val="00C453B9"/>
    <w:rsid w:val="00C467C1"/>
    <w:rsid w:val="00C54C8D"/>
    <w:rsid w:val="00C54FE3"/>
    <w:rsid w:val="00C55A68"/>
    <w:rsid w:val="00C57EBF"/>
    <w:rsid w:val="00C624DF"/>
    <w:rsid w:val="00C62B70"/>
    <w:rsid w:val="00C6355D"/>
    <w:rsid w:val="00C65503"/>
    <w:rsid w:val="00C72C5E"/>
    <w:rsid w:val="00C7441D"/>
    <w:rsid w:val="00C750A5"/>
    <w:rsid w:val="00C81B91"/>
    <w:rsid w:val="00C81CD9"/>
    <w:rsid w:val="00C9087F"/>
    <w:rsid w:val="00C90A97"/>
    <w:rsid w:val="00C93739"/>
    <w:rsid w:val="00C9608C"/>
    <w:rsid w:val="00CA12D4"/>
    <w:rsid w:val="00CA3A10"/>
    <w:rsid w:val="00CA4671"/>
    <w:rsid w:val="00CA57BA"/>
    <w:rsid w:val="00CA63CB"/>
    <w:rsid w:val="00CA645C"/>
    <w:rsid w:val="00CA6ED9"/>
    <w:rsid w:val="00CB2320"/>
    <w:rsid w:val="00CB3A36"/>
    <w:rsid w:val="00CC54F1"/>
    <w:rsid w:val="00CC585A"/>
    <w:rsid w:val="00CC7088"/>
    <w:rsid w:val="00CD0FC3"/>
    <w:rsid w:val="00CD1AA4"/>
    <w:rsid w:val="00CD2C9B"/>
    <w:rsid w:val="00CD4379"/>
    <w:rsid w:val="00CD79F8"/>
    <w:rsid w:val="00CF30F0"/>
    <w:rsid w:val="00CF6061"/>
    <w:rsid w:val="00D10E45"/>
    <w:rsid w:val="00D1180C"/>
    <w:rsid w:val="00D12BAE"/>
    <w:rsid w:val="00D20BD6"/>
    <w:rsid w:val="00D22EC9"/>
    <w:rsid w:val="00D31EEE"/>
    <w:rsid w:val="00D32754"/>
    <w:rsid w:val="00D429F9"/>
    <w:rsid w:val="00D46646"/>
    <w:rsid w:val="00D52B96"/>
    <w:rsid w:val="00D5325F"/>
    <w:rsid w:val="00D54ECE"/>
    <w:rsid w:val="00D677D6"/>
    <w:rsid w:val="00D74AF4"/>
    <w:rsid w:val="00D75753"/>
    <w:rsid w:val="00D77EE2"/>
    <w:rsid w:val="00D83F50"/>
    <w:rsid w:val="00D860C5"/>
    <w:rsid w:val="00D863CA"/>
    <w:rsid w:val="00D95442"/>
    <w:rsid w:val="00D979B5"/>
    <w:rsid w:val="00DA6747"/>
    <w:rsid w:val="00DA7617"/>
    <w:rsid w:val="00DB4B79"/>
    <w:rsid w:val="00DB6609"/>
    <w:rsid w:val="00DB7CD1"/>
    <w:rsid w:val="00DC2BC0"/>
    <w:rsid w:val="00DC53FD"/>
    <w:rsid w:val="00DC61C7"/>
    <w:rsid w:val="00DC7AAE"/>
    <w:rsid w:val="00DD551A"/>
    <w:rsid w:val="00DD6883"/>
    <w:rsid w:val="00DE46CE"/>
    <w:rsid w:val="00DE4965"/>
    <w:rsid w:val="00DF0B09"/>
    <w:rsid w:val="00DF3147"/>
    <w:rsid w:val="00DF4370"/>
    <w:rsid w:val="00E00DC6"/>
    <w:rsid w:val="00E01673"/>
    <w:rsid w:val="00E02085"/>
    <w:rsid w:val="00E025BD"/>
    <w:rsid w:val="00E0318A"/>
    <w:rsid w:val="00E0372A"/>
    <w:rsid w:val="00E037B0"/>
    <w:rsid w:val="00E0453A"/>
    <w:rsid w:val="00E1023B"/>
    <w:rsid w:val="00E12289"/>
    <w:rsid w:val="00E1290F"/>
    <w:rsid w:val="00E1486B"/>
    <w:rsid w:val="00E14987"/>
    <w:rsid w:val="00E15CE4"/>
    <w:rsid w:val="00E17EB3"/>
    <w:rsid w:val="00E25ED1"/>
    <w:rsid w:val="00E26A81"/>
    <w:rsid w:val="00E42823"/>
    <w:rsid w:val="00E43130"/>
    <w:rsid w:val="00E44313"/>
    <w:rsid w:val="00E5666E"/>
    <w:rsid w:val="00E7172B"/>
    <w:rsid w:val="00E724C2"/>
    <w:rsid w:val="00E823A6"/>
    <w:rsid w:val="00E87ED4"/>
    <w:rsid w:val="00E9260B"/>
    <w:rsid w:val="00EA4691"/>
    <w:rsid w:val="00EA7DF6"/>
    <w:rsid w:val="00EB253F"/>
    <w:rsid w:val="00EB53C4"/>
    <w:rsid w:val="00EC520E"/>
    <w:rsid w:val="00EC77C9"/>
    <w:rsid w:val="00ED1584"/>
    <w:rsid w:val="00ED4624"/>
    <w:rsid w:val="00ED75BF"/>
    <w:rsid w:val="00EE5F44"/>
    <w:rsid w:val="00EE72AB"/>
    <w:rsid w:val="00EF405D"/>
    <w:rsid w:val="00EF61CE"/>
    <w:rsid w:val="00F21820"/>
    <w:rsid w:val="00F21AA7"/>
    <w:rsid w:val="00F23F23"/>
    <w:rsid w:val="00F31D75"/>
    <w:rsid w:val="00F36CB9"/>
    <w:rsid w:val="00F45D31"/>
    <w:rsid w:val="00F560CC"/>
    <w:rsid w:val="00F63632"/>
    <w:rsid w:val="00F641E9"/>
    <w:rsid w:val="00F64908"/>
    <w:rsid w:val="00F665B5"/>
    <w:rsid w:val="00F70F73"/>
    <w:rsid w:val="00F73C4F"/>
    <w:rsid w:val="00F76304"/>
    <w:rsid w:val="00F82B0E"/>
    <w:rsid w:val="00F86C26"/>
    <w:rsid w:val="00F932AE"/>
    <w:rsid w:val="00F942E2"/>
    <w:rsid w:val="00F963A2"/>
    <w:rsid w:val="00F96754"/>
    <w:rsid w:val="00FA16B0"/>
    <w:rsid w:val="00FA2B29"/>
    <w:rsid w:val="00FA6A34"/>
    <w:rsid w:val="00FA72D3"/>
    <w:rsid w:val="00FB23DC"/>
    <w:rsid w:val="00FB38F6"/>
    <w:rsid w:val="00FB3EBE"/>
    <w:rsid w:val="00FB77BF"/>
    <w:rsid w:val="00FC3DD0"/>
    <w:rsid w:val="00FD4A9C"/>
    <w:rsid w:val="00FD6C77"/>
    <w:rsid w:val="00FD73B8"/>
    <w:rsid w:val="00FD7A78"/>
    <w:rsid w:val="00FE36F8"/>
    <w:rsid w:val="00FE6232"/>
    <w:rsid w:val="00FF23F4"/>
    <w:rsid w:val="00FF2D3D"/>
    <w:rsid w:val="00FF3E9A"/>
    <w:rsid w:val="00FF539B"/>
    <w:rsid w:val="00FF5F7B"/>
    <w:rsid w:val="2D066755"/>
    <w:rsid w:val="2E5B4DF4"/>
    <w:rsid w:val="32AD0280"/>
    <w:rsid w:val="3B734778"/>
    <w:rsid w:val="4E6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4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E3C4E"/>
    <w:rPr>
      <w:sz w:val="18"/>
      <w:szCs w:val="18"/>
    </w:rPr>
  </w:style>
  <w:style w:type="paragraph" w:styleId="a4">
    <w:name w:val="footer"/>
    <w:basedOn w:val="a"/>
    <w:link w:val="Char0"/>
    <w:rsid w:val="003E3C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rsid w:val="003E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3E3C4E"/>
  </w:style>
  <w:style w:type="character" w:customStyle="1" w:styleId="Char0">
    <w:name w:val="页脚 Char"/>
    <w:basedOn w:val="a0"/>
    <w:link w:val="a4"/>
    <w:rsid w:val="003E3C4E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E3C4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E3C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397</Characters>
  <Application>Microsoft Office Word</Application>
  <DocSecurity>0</DocSecurity>
  <Lines>3</Lines>
  <Paragraphs>1</Paragraphs>
  <ScaleCrop>false</ScaleCrop>
  <Company>http://sdwm.org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jwk</cp:lastModifiedBy>
  <cp:revision>7</cp:revision>
  <cp:lastPrinted>2015-06-30T06:19:00Z</cp:lastPrinted>
  <dcterms:created xsi:type="dcterms:W3CDTF">2017-05-10T13:41:00Z</dcterms:created>
  <dcterms:modified xsi:type="dcterms:W3CDTF">2017-10-18T07:58:00Z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