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登录：院系教学办主任、团总支账号登录教务管理系统http://jwgl.bzmc.edu.cn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点击“成绩管理-学业预警监控管理-学业预警统计处理”</w:t>
      </w:r>
    </w:p>
    <w:p>
      <w:r>
        <w:drawing>
          <wp:inline distT="0" distB="0" distL="114300" distR="114300">
            <wp:extent cx="5266690" cy="204533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三、点击“统计”，按年级、专业分别进行学业预警统计</w:t>
      </w:r>
    </w:p>
    <w:p>
      <w:r>
        <w:drawing>
          <wp:inline distT="0" distB="0" distL="114300" distR="114300">
            <wp:extent cx="5263515" cy="2186940"/>
            <wp:effectExtent l="0" t="0" r="698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3515" cy="238061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四、统计完毕后“查询”、“导出”学业预警学生名单。</w:t>
      </w:r>
      <w:r>
        <w:rPr>
          <w:rFonts w:hint="eastAsia"/>
          <w:color w:val="FF0000"/>
          <w:sz w:val="28"/>
          <w:szCs w:val="28"/>
          <w:lang w:val="en-US" w:eastAsia="zh-CN"/>
        </w:rPr>
        <w:t>除一级预警、二级预警外，系统还设置了“学业提醒”，对未达到学业警示条件、各学年累计仍有必修课未通过的学生进行“学业提醒”。</w:t>
      </w:r>
    </w:p>
    <w:p>
      <w:r>
        <w:drawing>
          <wp:inline distT="0" distB="0" distL="114300" distR="114300">
            <wp:extent cx="5270500" cy="2223135"/>
            <wp:effectExtent l="0" t="0" r="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五、学业预警名单确认无误后，勾选名单，点击“预警处理”。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进行“预警处理”后，学生登录教务管理系统将收到“警示”提醒。</w:t>
      </w:r>
    </w:p>
    <w:p>
      <w:r>
        <w:drawing>
          <wp:inline distT="0" distB="0" distL="114300" distR="114300">
            <wp:extent cx="5269230" cy="2232660"/>
            <wp:effectExtent l="0" t="0" r="127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六、审核</w:t>
      </w:r>
      <w:r>
        <w:rPr>
          <w:rFonts w:hint="eastAsia" w:ascii="仿宋_GB2312"/>
          <w:sz w:val="28"/>
          <w:szCs w:val="28"/>
          <w:lang w:val="en-US" w:eastAsia="zh-CN"/>
        </w:rPr>
        <w:t>见习、实习学生欠修学分情况，可点击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</w:t>
      </w:r>
    </w:p>
    <w:p>
      <w:r>
        <w:drawing>
          <wp:inline distT="0" distB="0" distL="114300" distR="114300">
            <wp:extent cx="5268595" cy="2193925"/>
            <wp:effectExtent l="0" t="0" r="190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勾选相应信息，填写不及格学分区间，其中“课程性质”选“必修课、必修（新）”，点击“统计”、“导出”名单。</w:t>
      </w:r>
    </w:p>
    <w:p>
      <w:r>
        <w:drawing>
          <wp:inline distT="0" distB="0" distL="114300" distR="114300">
            <wp:extent cx="5273040" cy="2388870"/>
            <wp:effectExtent l="0" t="0" r="10160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2191385"/>
            <wp:effectExtent l="0" t="0" r="317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19AB4B"/>
    <w:multiLevelType w:val="singleLevel"/>
    <w:tmpl w:val="4E19AB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672D"/>
    <w:rsid w:val="007A4E5E"/>
    <w:rsid w:val="0B153395"/>
    <w:rsid w:val="0B7D3543"/>
    <w:rsid w:val="10BE0F60"/>
    <w:rsid w:val="18256F5F"/>
    <w:rsid w:val="1CF13226"/>
    <w:rsid w:val="1FB01074"/>
    <w:rsid w:val="27465995"/>
    <w:rsid w:val="27F27CDF"/>
    <w:rsid w:val="2BE84D34"/>
    <w:rsid w:val="33142F1C"/>
    <w:rsid w:val="38F14E13"/>
    <w:rsid w:val="435611C7"/>
    <w:rsid w:val="4B6A1C46"/>
    <w:rsid w:val="4FEB0F85"/>
    <w:rsid w:val="537C0B3F"/>
    <w:rsid w:val="600B544A"/>
    <w:rsid w:val="63107FD9"/>
    <w:rsid w:val="65C501F6"/>
    <w:rsid w:val="73F5285C"/>
    <w:rsid w:val="7464672D"/>
    <w:rsid w:val="79AA739B"/>
    <w:rsid w:val="7BA7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2019-03-19T07:52:00Z</dcterms:created>
  <dc:creator>dell</dc:creator>
  <cp:lastModifiedBy>HP</cp:lastModifiedBy>
  <dcterms:modified xsi:type="dcterms:W3CDTF">2019-10-09T06:54:59Z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