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滨州医学院课程教学大纲编写体例与格式要求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《×××》课程教学大纲</w:t>
      </w:r>
    </w:p>
    <w:p>
      <w:pPr>
        <w:spacing w:line="360" w:lineRule="auto"/>
        <w:jc w:val="left"/>
        <w:rPr>
          <w:rFonts w:ascii="黑体" w:hAnsi="宋体" w:eastAsia="黑体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一、课程说明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课程代码：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课程名称（中/英文）：</w:t>
      </w:r>
    </w:p>
    <w:p>
      <w:pPr>
        <w:spacing w:line="520" w:lineRule="exact"/>
        <w:ind w:firstLine="480" w:firstLineChars="150"/>
        <w:jc w:val="left"/>
        <w:rPr>
          <w:rFonts w:ascii="仿宋_GB2312" w:hAnsi="宋体" w:eastAsia="仿宋_GB2312"/>
          <w:sz w:val="24"/>
        </w:rPr>
      </w:pPr>
      <w:r>
        <w:rPr>
          <w:rFonts w:ascii="Times New Roman" w:hAnsi="Times New Roman" w:eastAsia="宋体"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180340</wp:posOffset>
                </wp:positionV>
                <wp:extent cx="1459865" cy="1333500"/>
                <wp:effectExtent l="228600" t="0" r="26035" b="19050"/>
                <wp:wrapNone/>
                <wp:docPr id="3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459865" cy="1333500"/>
                        </a:xfrm>
                        <a:prstGeom prst="wedgeRoundRectCallout">
                          <a:avLst>
                            <a:gd name="adj1" fmla="val 64847"/>
                            <a:gd name="adj2" fmla="val 2683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有实践课时的，按（理论课时+实践课时）填写，无实践课时的，去掉括号内容。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角矩形标注 2" o:spid="_x0000_s1026" o:spt="62" type="#_x0000_t62" style="position:absolute;left:0pt;flip:y;margin-left:233.05pt;margin-top:14.2pt;height:105pt;width:114.95pt;rotation:11796480f;z-index:-251657216;mso-width-relative:page;mso-height-relative:page;" fillcolor="#FFFFFF [3201]" filled="t" stroked="t" coordsize="21600,21600" o:gfxdata="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Q1pvH2AAAAAoBAAAPAAAAAAAAAAEAIAAAACIAAABk&#10;cnMvZG93bnJldi54bWxQSwECFAAUAAAACACHTuJATD8KqrECAABKBQAADgAAAAAAAAABACAAAAAn&#10;AQAAZHJzL2Uyb0RvYy54bWxQSwUGAAAAAAYABgBZAQAASgYAAAAA&#10;" adj="24807,16597,14400">
                <v:fill on="t" focussize="0,0"/>
                <v:stroke weight="2pt" color="#000000 [3200]" joinstyle="round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rPr>
                          <w:rFonts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有实践课时的，按（理论课时+实践课时）填写，无实践课时的，去掉括号内容。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课程类别：公共课/专业课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课程性质：必修/选修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学    分：</w:t>
      </w:r>
      <w:r>
        <w:rPr>
          <w:rFonts w:ascii="仿宋_GB2312" w:hAnsi="宋体" w:eastAsia="仿宋_GB2312"/>
          <w:sz w:val="24"/>
        </w:rPr>
        <w:t>×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学    时：</w:t>
      </w:r>
      <w:r>
        <w:rPr>
          <w:rFonts w:ascii="仿宋_GB2312" w:hAnsi="宋体" w:eastAsia="仿宋_GB2312"/>
          <w:sz w:val="24"/>
        </w:rPr>
        <w:t>××（××</w:t>
      </w:r>
      <w:r>
        <w:rPr>
          <w:rFonts w:hint="eastAsia" w:ascii="仿宋_GB2312" w:hAnsi="宋体" w:eastAsia="仿宋_GB2312"/>
          <w:sz w:val="24"/>
        </w:rPr>
        <w:t xml:space="preserve"> + </w:t>
      </w:r>
      <w:r>
        <w:rPr>
          <w:rFonts w:ascii="仿宋_GB2312" w:hAnsi="宋体" w:eastAsia="仿宋_GB2312"/>
          <w:sz w:val="24"/>
        </w:rPr>
        <w:t>××）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先修课程：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适用专业层次：</w:t>
      </w:r>
    </w:p>
    <w:p>
      <w:pPr>
        <w:spacing w:before="156" w:beforeLines="50" w:line="360" w:lineRule="auto"/>
        <w:ind w:firstLine="548" w:firstLineChars="196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二、课程地位与作用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本课程是面向</w:t>
      </w:r>
      <w:r>
        <w:rPr>
          <w:rFonts w:ascii="仿宋_GB2312" w:hAnsi="宋体" w:eastAsia="仿宋_GB2312"/>
          <w:sz w:val="24"/>
        </w:rPr>
        <w:t>xxx</w:t>
      </w:r>
      <w:r>
        <w:rPr>
          <w:rFonts w:hint="eastAsia" w:ascii="仿宋_GB2312" w:hAnsi="宋体" w:eastAsia="仿宋_GB2312"/>
          <w:sz w:val="24"/>
        </w:rPr>
        <w:t>类专业的</w:t>
      </w:r>
      <w:r>
        <w:rPr>
          <w:rFonts w:ascii="仿宋_GB2312" w:hAnsi="宋体" w:eastAsia="仿宋_GB2312"/>
          <w:sz w:val="24"/>
        </w:rPr>
        <w:t>xxx</w:t>
      </w:r>
      <w:r>
        <w:rPr>
          <w:rFonts w:hint="eastAsia" w:ascii="仿宋_GB2312" w:hAnsi="宋体" w:eastAsia="仿宋_GB2312"/>
          <w:sz w:val="24"/>
        </w:rPr>
        <w:t>课程，在</w:t>
      </w:r>
      <w:r>
        <w:rPr>
          <w:rFonts w:ascii="仿宋_GB2312" w:hAnsi="宋体" w:eastAsia="仿宋_GB2312"/>
          <w:sz w:val="24"/>
        </w:rPr>
        <w:t>xxx方面起xxx作用</w:t>
      </w:r>
      <w:r>
        <w:rPr>
          <w:rFonts w:hint="eastAsia" w:ascii="仿宋_GB2312" w:hAnsi="宋体" w:eastAsia="仿宋_GB2312"/>
          <w:sz w:val="24"/>
        </w:rPr>
        <w:t>。主要讲授</w:t>
      </w:r>
      <w:r>
        <w:rPr>
          <w:rFonts w:ascii="仿宋_GB2312" w:hAnsi="宋体" w:eastAsia="仿宋_GB2312"/>
          <w:sz w:val="24"/>
        </w:rPr>
        <w:t>xx</w:t>
      </w:r>
      <w:r>
        <w:rPr>
          <w:rFonts w:hint="eastAsia" w:ascii="仿宋_GB2312" w:hAnsi="宋体" w:eastAsia="仿宋_GB2312"/>
          <w:sz w:val="24"/>
        </w:rPr>
        <w:t>、</w:t>
      </w:r>
      <w:r>
        <w:rPr>
          <w:rFonts w:ascii="仿宋_GB2312" w:hAnsi="宋体" w:eastAsia="仿宋_GB2312"/>
          <w:sz w:val="24"/>
        </w:rPr>
        <w:t>xx</w:t>
      </w:r>
      <w:r>
        <w:rPr>
          <w:rFonts w:hint="eastAsia" w:ascii="仿宋_GB2312" w:hAnsi="宋体" w:eastAsia="仿宋_GB2312"/>
          <w:sz w:val="24"/>
        </w:rPr>
        <w:t>、</w:t>
      </w:r>
      <w:r>
        <w:rPr>
          <w:rFonts w:ascii="仿宋_GB2312" w:hAnsi="宋体" w:eastAsia="仿宋_GB2312"/>
          <w:sz w:val="24"/>
        </w:rPr>
        <w:t>xx等</w:t>
      </w:r>
      <w:r>
        <w:rPr>
          <w:rFonts w:hint="eastAsia" w:ascii="仿宋_GB2312" w:hAnsi="宋体" w:eastAsia="仿宋_GB2312"/>
          <w:sz w:val="24"/>
        </w:rPr>
        <w:t>方面的知识，培养</w:t>
      </w:r>
      <w:r>
        <w:rPr>
          <w:rFonts w:ascii="仿宋_GB2312" w:hAnsi="宋体" w:eastAsia="仿宋_GB2312"/>
          <w:sz w:val="24"/>
        </w:rPr>
        <w:t>xxxx</w:t>
      </w:r>
      <w:r>
        <w:rPr>
          <w:rFonts w:hint="eastAsia" w:ascii="仿宋_GB2312" w:hAnsi="宋体" w:eastAsia="仿宋_GB2312"/>
          <w:sz w:val="24"/>
        </w:rPr>
        <w:t>、</w:t>
      </w:r>
      <w:r>
        <w:rPr>
          <w:rFonts w:ascii="仿宋_GB2312" w:hAnsi="宋体" w:eastAsia="仿宋_GB2312"/>
          <w:sz w:val="24"/>
        </w:rPr>
        <w:t>xxx</w:t>
      </w:r>
      <w:r>
        <w:rPr>
          <w:rFonts w:hint="eastAsia" w:ascii="仿宋_GB2312" w:hAnsi="宋体" w:eastAsia="仿宋_GB2312"/>
          <w:sz w:val="24"/>
        </w:rPr>
        <w:t>等技能和</w:t>
      </w:r>
      <w:r>
        <w:rPr>
          <w:rFonts w:ascii="仿宋_GB2312" w:hAnsi="宋体" w:eastAsia="仿宋_GB2312"/>
          <w:sz w:val="24"/>
        </w:rPr>
        <w:t>xxx思维</w:t>
      </w:r>
      <w:r>
        <w:rPr>
          <w:rFonts w:hint="eastAsia" w:ascii="仿宋_GB2312" w:hAnsi="宋体" w:eastAsia="仿宋_GB2312"/>
          <w:sz w:val="24"/>
        </w:rPr>
        <w:t>。本课程是</w:t>
      </w:r>
      <w:r>
        <w:rPr>
          <w:rFonts w:ascii="仿宋_GB2312" w:hAnsi="宋体" w:eastAsia="仿宋_GB2312"/>
          <w:sz w:val="24"/>
        </w:rPr>
        <w:t>xxx</w:t>
      </w:r>
      <w:r>
        <w:rPr>
          <w:rFonts w:hint="eastAsia" w:ascii="仿宋_GB2312" w:hAnsi="宋体" w:eastAsia="仿宋_GB2312"/>
          <w:sz w:val="24"/>
        </w:rPr>
        <w:t>、</w:t>
      </w:r>
      <w:r>
        <w:rPr>
          <w:rFonts w:ascii="仿宋_GB2312" w:hAnsi="宋体" w:eastAsia="仿宋_GB2312"/>
          <w:sz w:val="24"/>
        </w:rPr>
        <w:t>xxx</w:t>
      </w:r>
      <w:r>
        <w:rPr>
          <w:rFonts w:hint="eastAsia" w:ascii="仿宋_GB2312" w:hAnsi="宋体" w:eastAsia="仿宋_GB2312"/>
          <w:sz w:val="24"/>
        </w:rPr>
        <w:t>的后续课程，为</w:t>
      </w:r>
      <w:r>
        <w:rPr>
          <w:rFonts w:ascii="仿宋_GB2312" w:hAnsi="宋体" w:eastAsia="仿宋_GB2312"/>
          <w:sz w:val="24"/>
        </w:rPr>
        <w:t>xxxx</w:t>
      </w:r>
      <w:r>
        <w:rPr>
          <w:rFonts w:hint="eastAsia" w:ascii="仿宋_GB2312" w:hAnsi="宋体" w:eastAsia="仿宋_GB2312"/>
          <w:sz w:val="24"/>
        </w:rPr>
        <w:t>、</w:t>
      </w:r>
      <w:r>
        <w:rPr>
          <w:rFonts w:ascii="仿宋_GB2312" w:hAnsi="宋体" w:eastAsia="仿宋_GB2312"/>
          <w:sz w:val="24"/>
        </w:rPr>
        <w:t>xxxx</w:t>
      </w:r>
      <w:r>
        <w:rPr>
          <w:rFonts w:hint="eastAsia" w:ascii="仿宋_GB2312" w:hAnsi="宋体" w:eastAsia="仿宋_GB2312"/>
          <w:sz w:val="24"/>
        </w:rPr>
        <w:t>课程学习打下基础。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>（根据专业培养目标、培养要求以及课程体系与培养要求的对应关系，表述清楚该课程在人才培养过程中的地位与作用、课程教学的指导思想。）</w:t>
      </w:r>
    </w:p>
    <w:p>
      <w:pPr>
        <w:spacing w:before="156" w:beforeLines="50" w:line="360" w:lineRule="auto"/>
        <w:ind w:firstLine="548" w:firstLineChars="196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三、课程教学目标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在学习本课程后</w:t>
      </w:r>
      <w:r>
        <w:rPr>
          <w:rFonts w:ascii="仿宋_GB2312" w:hAnsi="宋体" w:eastAsia="仿宋_GB2312"/>
          <w:sz w:val="24"/>
        </w:rPr>
        <w:t>,</w:t>
      </w:r>
      <w:r>
        <w:rPr>
          <w:rFonts w:hint="eastAsia" w:ascii="仿宋_GB2312" w:hAnsi="宋体" w:eastAsia="仿宋_GB2312"/>
          <w:sz w:val="24"/>
        </w:rPr>
        <w:t>要求学生能够达到以下状态</w:t>
      </w:r>
      <w:r>
        <w:rPr>
          <w:rFonts w:ascii="仿宋_GB2312" w:hAnsi="宋体" w:eastAsia="仿宋_GB2312"/>
          <w:sz w:val="24"/>
        </w:rPr>
        <w:t>:</w:t>
      </w:r>
    </w:p>
    <w:p>
      <w:pPr>
        <w:spacing w:line="520" w:lineRule="exact"/>
        <w:ind w:firstLine="482" w:firstLineChars="200"/>
        <w:jc w:val="lef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（一）知识目标</w:t>
      </w:r>
    </w:p>
    <w:p>
      <w:pPr>
        <w:spacing w:line="520" w:lineRule="exact"/>
        <w:ind w:firstLine="482" w:firstLineChars="200"/>
        <w:jc w:val="lef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（二）能力目标</w:t>
      </w:r>
    </w:p>
    <w:p>
      <w:pPr>
        <w:spacing w:line="520" w:lineRule="exact"/>
        <w:ind w:firstLine="482" w:firstLineChars="200"/>
        <w:jc w:val="lef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（三）素质（德育）目标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……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>（要求：详细说明学生学习本课程后在知识、技能、态度、情感、价值等方面达到的状态，陈述应力求明确、具体，并可以观察和测量。关键词可参考附件“课程教学目标、教学方法、教学手段表述关键词参考”；对于素质（德育）的目标、内容、方法与路径等应进行系统设计，可采用章节列表形式具体说明。）</w:t>
      </w:r>
    </w:p>
    <w:p>
      <w:pPr>
        <w:spacing w:before="156" w:beforeLines="50" w:line="360" w:lineRule="auto"/>
        <w:ind w:firstLine="548" w:firstLineChars="196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四、学时分配表</w:t>
      </w:r>
    </w:p>
    <w:tbl>
      <w:tblPr>
        <w:tblStyle w:val="6"/>
        <w:tblW w:w="8364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51"/>
        <w:gridCol w:w="990"/>
        <w:gridCol w:w="996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章节序号</w:t>
            </w:r>
          </w:p>
        </w:tc>
        <w:tc>
          <w:tcPr>
            <w:tcW w:w="4251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知识单元名称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学时分配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备注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b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sz w:val="24"/>
              </w:rPr>
              <w:t>（自学）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tcBorders>
              <w:lef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4251" w:type="dxa"/>
            <w:vMerge w:val="continue"/>
            <w:tcBorders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理论</w:t>
            </w:r>
          </w:p>
        </w:tc>
        <w:tc>
          <w:tcPr>
            <w:tcW w:w="996" w:type="dxa"/>
            <w:tcBorders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实践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5" w:type="dxa"/>
            <w:gridSpan w:val="2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合  计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4"/>
              </w:rPr>
            </w:pPr>
          </w:p>
        </w:tc>
      </w:tr>
    </w:tbl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>（说明：1、按知识单元而不是教材章节梳理课程教学内容（即先定大纲再选择教材）。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>2、实践：含课内实验、上机、课程见习、课程实训、课程设计等各类课内实践环节。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3、根据需要增行或者删除多余行。）</w:t>
      </w:r>
    </w:p>
    <w:p>
      <w:pPr>
        <w:spacing w:before="156" w:beforeLines="50" w:line="360" w:lineRule="auto"/>
        <w:ind w:firstLine="548" w:firstLineChars="196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五、课程章节目的要求、教学内容、重点难点及教学设计</w:t>
      </w:r>
    </w:p>
    <w:p>
      <w:pPr>
        <w:adjustRightInd w:val="0"/>
        <w:snapToGrid w:val="0"/>
        <w:spacing w:line="520" w:lineRule="exact"/>
        <w:ind w:firstLine="472" w:firstLineChars="196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 xml:space="preserve">第一章  </w:t>
      </w:r>
    </w:p>
    <w:p>
      <w:pPr>
        <w:adjustRightInd w:val="0"/>
        <w:snapToGrid w:val="0"/>
        <w:spacing w:line="520" w:lineRule="exact"/>
        <w:ind w:firstLine="472" w:firstLineChars="196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【总学时】    学时</w:t>
      </w:r>
    </w:p>
    <w:p>
      <w:pPr>
        <w:adjustRightInd w:val="0"/>
        <w:snapToGrid w:val="0"/>
        <w:spacing w:line="520" w:lineRule="exact"/>
        <w:ind w:firstLine="472" w:firstLineChars="196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【学时分配】讲课（含研讨）    学时/实践     学时</w:t>
      </w:r>
    </w:p>
    <w:p>
      <w:pPr>
        <w:adjustRightInd w:val="0"/>
        <w:snapToGrid w:val="0"/>
        <w:spacing w:line="520" w:lineRule="exact"/>
        <w:ind w:firstLine="472" w:firstLineChars="196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【目的要求】从知识、能力、素质（德育）的角度分别描述</w:t>
      </w:r>
    </w:p>
    <w:p>
      <w:pPr>
        <w:adjustRightInd w:val="0"/>
        <w:snapToGrid w:val="0"/>
        <w:spacing w:line="520" w:lineRule="exact"/>
        <w:ind w:firstLine="472" w:firstLineChars="196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【教学内容】</w:t>
      </w:r>
    </w:p>
    <w:p>
      <w:pPr>
        <w:adjustRightInd w:val="0"/>
        <w:snapToGrid w:val="0"/>
        <w:spacing w:line="520" w:lineRule="exact"/>
        <w:ind w:firstLine="472" w:firstLineChars="196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第一节</w:t>
      </w:r>
    </w:p>
    <w:p>
      <w:pPr>
        <w:adjustRightInd w:val="0"/>
        <w:snapToGrid w:val="0"/>
        <w:spacing w:line="520" w:lineRule="exact"/>
        <w:ind w:firstLine="472" w:firstLineChars="196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1.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（1）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（2）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①②③④</w:t>
      </w:r>
    </w:p>
    <w:p>
      <w:pPr>
        <w:adjustRightInd w:val="0"/>
        <w:snapToGrid w:val="0"/>
        <w:spacing w:line="520" w:lineRule="exact"/>
        <w:ind w:firstLine="472" w:firstLineChars="196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【教学重点】</w:t>
      </w:r>
    </w:p>
    <w:p>
      <w:pPr>
        <w:adjustRightInd w:val="0"/>
        <w:snapToGrid w:val="0"/>
        <w:spacing w:line="520" w:lineRule="exact"/>
        <w:ind w:firstLine="472" w:firstLineChars="196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【教学难点】</w:t>
      </w:r>
    </w:p>
    <w:p>
      <w:pPr>
        <w:adjustRightInd w:val="0"/>
        <w:snapToGrid w:val="0"/>
        <w:spacing w:line="520" w:lineRule="exact"/>
        <w:ind w:firstLine="472" w:firstLineChars="196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【教学方案设计】（含教学方法、教学手段）</w:t>
      </w:r>
    </w:p>
    <w:p>
      <w:pPr>
        <w:adjustRightInd w:val="0"/>
        <w:snapToGrid w:val="0"/>
        <w:spacing w:line="520" w:lineRule="exact"/>
        <w:ind w:firstLine="472" w:firstLineChars="196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【课后学习】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……</w:t>
      </w:r>
      <w:r>
        <w:rPr>
          <w:rFonts w:hint="eastAsia" w:ascii="仿宋_GB2312" w:hAnsi="宋体" w:eastAsia="仿宋_GB2312"/>
          <w:sz w:val="24"/>
          <w:u w:val="single"/>
        </w:rPr>
        <w:t>（阐述课后作业与自修管理）</w:t>
      </w:r>
    </w:p>
    <w:p>
      <w:pPr>
        <w:spacing w:line="520" w:lineRule="exact"/>
        <w:ind w:firstLine="482" w:firstLineChars="200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第二章</w:t>
      </w:r>
    </w:p>
    <w:p>
      <w:pPr>
        <w:adjustRightInd w:val="0"/>
        <w:snapToGrid w:val="0"/>
        <w:spacing w:line="520" w:lineRule="exact"/>
        <w:ind w:firstLine="470" w:firstLineChars="196"/>
        <w:jc w:val="left"/>
        <w:rPr>
          <w:rFonts w:ascii="仿宋_GB2312" w:hAnsi="宋体" w:eastAsia="仿宋_GB2312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……</w:t>
      </w:r>
    </w:p>
    <w:p>
      <w:pPr>
        <w:adjustRightInd w:val="0"/>
        <w:snapToGrid w:val="0"/>
        <w:spacing w:line="520" w:lineRule="exact"/>
        <w:ind w:firstLine="472" w:firstLineChars="196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第三章</w:t>
      </w:r>
    </w:p>
    <w:p>
      <w:pPr>
        <w:adjustRightInd w:val="0"/>
        <w:snapToGrid w:val="0"/>
        <w:spacing w:line="520" w:lineRule="exact"/>
        <w:ind w:firstLine="470" w:firstLineChars="196"/>
        <w:jc w:val="left"/>
        <w:rPr>
          <w:rFonts w:ascii="仿宋_GB2312" w:hAnsi="宋体" w:eastAsia="仿宋_GB2312" w:cs="宋体"/>
          <w:bCs/>
          <w:color w:val="000000"/>
          <w:kern w:val="0"/>
          <w:sz w:val="24"/>
        </w:rPr>
      </w:pPr>
      <w:r>
        <w:rPr>
          <w:rFonts w:ascii="仿宋_GB2312" w:hAnsi="宋体" w:eastAsia="仿宋_GB2312" w:cs="宋体"/>
          <w:bCs/>
          <w:color w:val="000000"/>
          <w:kern w:val="0"/>
          <w:sz w:val="24"/>
        </w:rPr>
        <w:t>……</w:t>
      </w:r>
    </w:p>
    <w:p>
      <w:pPr>
        <w:spacing w:before="156" w:beforeLines="50" w:line="360" w:lineRule="auto"/>
        <w:ind w:firstLine="548" w:firstLineChars="196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六、实践教学内容与基本要求</w:t>
      </w: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36"/>
        <w:gridCol w:w="764"/>
        <w:gridCol w:w="1395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3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学时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实践类型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……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>（说明：1. 理论课程内设置实验、上机、课程实训、课程实习、课程设计等教学内容的课程需填写此表。如为课程实习、实训、设计的还要说明实践内容、时间安排、目的要求与成绩评定。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>2.理论课程内没有设置实践环节的，请删除该部分内容，后面一级标题序号前移。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>3.单独设课的实验、实习、实训及设计类课程须独立编写实践课教学大纲。）</w:t>
      </w:r>
    </w:p>
    <w:p>
      <w:pPr>
        <w:spacing w:before="156" w:beforeLines="50" w:line="360" w:lineRule="auto"/>
        <w:ind w:firstLine="548" w:firstLineChars="196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七、课程考核与成绩评定</w:t>
      </w:r>
    </w:p>
    <w:p>
      <w:pPr>
        <w:spacing w:line="360" w:lineRule="auto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要明确阐述课程考试大纲，主要包括理论与实践的考核范围、考核方式、试题类型、难易程度、成绩评定方式与成绩构成比等。要求将过程性考核与终结性考核相结合，强调课程考试</w:t>
      </w:r>
      <w:r>
        <w:rPr>
          <w:rFonts w:hint="eastAsia" w:ascii="仿宋_GB2312" w:eastAsia="仿宋_GB2312" w:cs="仿宋_GB2312"/>
          <w:sz w:val="24"/>
        </w:rPr>
        <w:t>与国家职业资格考试、研究生考试及相关等级考试等方式与题型相接轨，加强知识运用能力、分析与解决问题能力的考核。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>（说明：1、过程性考核方式有阶段测试、作业、平时测试、作业测评、课外阅读、社会实践、学习总结等。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2、终结性考核方式有闭卷考试、开卷考试和各类开放性考试（写明具体形式，如口试、论文、调查报告、实验报告、作品、竞赛、能力测试等）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3、成绩评定部分，应说明以××制(百分制、五级制）记分，详细说明成绩构成比例，各项目应与考核方式部分相对应，并说明过程性考核成绩评定的依据。)</w:t>
      </w:r>
    </w:p>
    <w:p>
      <w:pPr>
        <w:spacing w:before="156" w:beforeLines="50" w:line="360" w:lineRule="auto"/>
        <w:ind w:firstLine="548" w:firstLineChars="196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八、建议教材与其他学习资源</w:t>
      </w:r>
    </w:p>
    <w:p>
      <w:pPr>
        <w:spacing w:line="520" w:lineRule="exact"/>
        <w:ind w:firstLine="482" w:firstLineChars="200"/>
        <w:jc w:val="lef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（一）建议教材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《教材名称》（版次），作者，出版社，出版年度。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>（应优先推选最适用、最新版、最高级别规划教材）</w:t>
      </w:r>
    </w:p>
    <w:p>
      <w:pPr>
        <w:spacing w:line="520" w:lineRule="exact"/>
        <w:ind w:firstLine="482" w:firstLineChars="200"/>
        <w:jc w:val="lef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（二）学习参考书（含实践指导书）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1.《书名》（版次），作者，出版社，出版年度。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……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>（应选用与课程教学内容紧密相关、能帮助学生理解课程内容和扩充知识领域的书籍、杂志、实践指导书及有特色的自编教材等，每门课程可选3-5种主要参考书）</w:t>
      </w:r>
    </w:p>
    <w:p>
      <w:pPr>
        <w:spacing w:line="520" w:lineRule="exact"/>
        <w:ind w:firstLine="482" w:firstLineChars="200"/>
        <w:jc w:val="lef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（三）其他学习资源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……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>（包括学习平台、网络资源、实验与实训资源等）</w:t>
      </w:r>
    </w:p>
    <w:p>
      <w:pPr>
        <w:spacing w:before="156" w:beforeLines="50" w:line="360" w:lineRule="auto"/>
        <w:ind w:firstLine="548" w:firstLineChars="196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九、其他说明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仿宋_GB2312" w:hAnsi="宋体" w:eastAsia="仿宋_GB2312"/>
          <w:sz w:val="24"/>
          <w:u w:val="single"/>
        </w:rPr>
      </w:pPr>
      <w:r>
        <w:rPr>
          <w:rFonts w:hint="eastAsia" w:ascii="宋体" w:hAnsi="宋体"/>
          <w:szCs w:val="21"/>
        </w:rPr>
        <w:t xml:space="preserve">……     </w:t>
      </w:r>
      <w:r>
        <w:rPr>
          <w:rFonts w:hint="eastAsia" w:ascii="仿宋_GB2312" w:hAnsi="宋体" w:eastAsia="仿宋_GB2312"/>
          <w:sz w:val="24"/>
          <w:u w:val="single"/>
        </w:rPr>
        <w:t>（如学习建议、课程相关的职业证书考试等在上述各项中未体现的内容。若无其他说明，可删除该项）</w:t>
      </w:r>
    </w:p>
    <w:p>
      <w:pPr>
        <w:adjustRightInd w:val="0"/>
        <w:snapToGrid w:val="0"/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520" w:lineRule="exact"/>
        <w:ind w:firstLine="482"/>
        <w:rPr>
          <w:rFonts w:ascii="仿宋_GB2312" w:hAnsi="宋体" w:eastAsia="仿宋_GB2312"/>
          <w:b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教学大纲执笔人：                 授课教研室：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课程负责人：                     所属学院：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专业负责人：                     学院院长：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</w:p>
    <w:p>
      <w:pPr>
        <w:spacing w:line="520" w:lineRule="exact"/>
        <w:ind w:firstLine="5380" w:firstLineChars="2242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2024年  月  日</w:t>
      </w:r>
    </w:p>
    <w:p>
      <w:pPr>
        <w:spacing w:line="520" w:lineRule="exact"/>
        <w:ind w:firstLine="482" w:firstLineChars="200"/>
        <w:jc w:val="left"/>
        <w:rPr>
          <w:rFonts w:ascii="仿宋_GB2312" w:hAnsi="宋体" w:eastAsia="仿宋_GB2312"/>
          <w:b/>
          <w:sz w:val="24"/>
        </w:rPr>
      </w:pPr>
    </w:p>
    <w:p>
      <w:pPr>
        <w:spacing w:line="520" w:lineRule="exact"/>
        <w:ind w:firstLine="482" w:firstLineChars="200"/>
        <w:jc w:val="left"/>
        <w:rPr>
          <w:rFonts w:ascii="仿宋_GB2312" w:hAnsi="宋体" w:eastAsia="仿宋_GB2312"/>
          <w:b/>
          <w:sz w:val="24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课程教学大纲编写格式要求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一、用A4页面，页边距上2.6cm，下2.5cm，左2.6cm，右2.5cm。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二、标题（《×××》课程教学大纲）：黑体，三号字，居中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三、一级标题：黑体四号字，左缩进2字符，</w:t>
      </w:r>
      <w:r>
        <w:rPr>
          <w:rFonts w:hint="eastAsia" w:eastAsia="黑体"/>
          <w:sz w:val="24"/>
        </w:rPr>
        <w:t>行间距为固定值26，段前0.5行</w:t>
      </w:r>
    </w:p>
    <w:p>
      <w:pPr>
        <w:spacing w:line="520" w:lineRule="exact"/>
        <w:ind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四、正文部分：仿宋_GB2312小四号字，标题加粗，段落起始左缩进2字符，word文档，行间距</w:t>
      </w:r>
      <w:r>
        <w:rPr>
          <w:rFonts w:hint="eastAsia" w:eastAsia="黑体"/>
          <w:sz w:val="24"/>
        </w:rPr>
        <w:t>为固定值26，段前、段后均为0</w:t>
      </w:r>
      <w:r>
        <w:rPr>
          <w:rFonts w:hint="eastAsia" w:ascii="仿宋_GB2312" w:hAnsi="宋体" w:eastAsia="仿宋_GB2312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67820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ODY3MDI3M2YxNmNiNGVhYmUyZGNkOTA0ZjllMmQifQ=="/>
  </w:docVars>
  <w:rsids>
    <w:rsidRoot w:val="00754DB0"/>
    <w:rsid w:val="00013DA3"/>
    <w:rsid w:val="00056607"/>
    <w:rsid w:val="00067E23"/>
    <w:rsid w:val="000B037F"/>
    <w:rsid w:val="000B7F8F"/>
    <w:rsid w:val="000C12F8"/>
    <w:rsid w:val="000F3240"/>
    <w:rsid w:val="00111997"/>
    <w:rsid w:val="00111E6F"/>
    <w:rsid w:val="00144393"/>
    <w:rsid w:val="001474E5"/>
    <w:rsid w:val="00156C4B"/>
    <w:rsid w:val="00162DAC"/>
    <w:rsid w:val="00171246"/>
    <w:rsid w:val="0017270E"/>
    <w:rsid w:val="00182036"/>
    <w:rsid w:val="00186FCD"/>
    <w:rsid w:val="00192C8E"/>
    <w:rsid w:val="001C3868"/>
    <w:rsid w:val="001C50C2"/>
    <w:rsid w:val="001E6A53"/>
    <w:rsid w:val="0021355F"/>
    <w:rsid w:val="0023318D"/>
    <w:rsid w:val="002720DB"/>
    <w:rsid w:val="00281071"/>
    <w:rsid w:val="002A1C64"/>
    <w:rsid w:val="002A2568"/>
    <w:rsid w:val="002A54A1"/>
    <w:rsid w:val="002B435F"/>
    <w:rsid w:val="002B6916"/>
    <w:rsid w:val="002C5AB2"/>
    <w:rsid w:val="002E6F76"/>
    <w:rsid w:val="002F79FB"/>
    <w:rsid w:val="00301A94"/>
    <w:rsid w:val="00306D81"/>
    <w:rsid w:val="00322077"/>
    <w:rsid w:val="0033450C"/>
    <w:rsid w:val="00367E55"/>
    <w:rsid w:val="00373409"/>
    <w:rsid w:val="003A2C5D"/>
    <w:rsid w:val="003A7803"/>
    <w:rsid w:val="003B0B28"/>
    <w:rsid w:val="003B35F9"/>
    <w:rsid w:val="003B4308"/>
    <w:rsid w:val="003C54BD"/>
    <w:rsid w:val="004149E1"/>
    <w:rsid w:val="00467369"/>
    <w:rsid w:val="00483433"/>
    <w:rsid w:val="004836E8"/>
    <w:rsid w:val="0049065E"/>
    <w:rsid w:val="00493A9B"/>
    <w:rsid w:val="00501269"/>
    <w:rsid w:val="00573341"/>
    <w:rsid w:val="00577772"/>
    <w:rsid w:val="0058789F"/>
    <w:rsid w:val="005D0FF9"/>
    <w:rsid w:val="005D16AE"/>
    <w:rsid w:val="005D5094"/>
    <w:rsid w:val="005E050F"/>
    <w:rsid w:val="005E0F46"/>
    <w:rsid w:val="005F36E5"/>
    <w:rsid w:val="005F53AE"/>
    <w:rsid w:val="00650569"/>
    <w:rsid w:val="00655E64"/>
    <w:rsid w:val="006A25F6"/>
    <w:rsid w:val="006C7A10"/>
    <w:rsid w:val="006F0A7E"/>
    <w:rsid w:val="00726B5A"/>
    <w:rsid w:val="007306D1"/>
    <w:rsid w:val="007426C8"/>
    <w:rsid w:val="00754DB0"/>
    <w:rsid w:val="00761BDC"/>
    <w:rsid w:val="00767A1C"/>
    <w:rsid w:val="00775ED3"/>
    <w:rsid w:val="007C70F9"/>
    <w:rsid w:val="007F1793"/>
    <w:rsid w:val="008012EB"/>
    <w:rsid w:val="0083375A"/>
    <w:rsid w:val="00840C70"/>
    <w:rsid w:val="00851404"/>
    <w:rsid w:val="00890ACE"/>
    <w:rsid w:val="008A013C"/>
    <w:rsid w:val="008B2E14"/>
    <w:rsid w:val="008C488C"/>
    <w:rsid w:val="00902376"/>
    <w:rsid w:val="00955F96"/>
    <w:rsid w:val="00970F7D"/>
    <w:rsid w:val="00976CD1"/>
    <w:rsid w:val="009801E1"/>
    <w:rsid w:val="0098375E"/>
    <w:rsid w:val="00987CFB"/>
    <w:rsid w:val="00995EFE"/>
    <w:rsid w:val="009A6FCD"/>
    <w:rsid w:val="009B6FBF"/>
    <w:rsid w:val="009E5B46"/>
    <w:rsid w:val="00A02D06"/>
    <w:rsid w:val="00A6153F"/>
    <w:rsid w:val="00A95A35"/>
    <w:rsid w:val="00AB235F"/>
    <w:rsid w:val="00AC6B0E"/>
    <w:rsid w:val="00AD759F"/>
    <w:rsid w:val="00AF09FB"/>
    <w:rsid w:val="00B006B5"/>
    <w:rsid w:val="00B023B0"/>
    <w:rsid w:val="00B21E05"/>
    <w:rsid w:val="00B4584B"/>
    <w:rsid w:val="00BD0BB4"/>
    <w:rsid w:val="00BE238A"/>
    <w:rsid w:val="00C13370"/>
    <w:rsid w:val="00C14034"/>
    <w:rsid w:val="00C27DF8"/>
    <w:rsid w:val="00C701A8"/>
    <w:rsid w:val="00CE2C9E"/>
    <w:rsid w:val="00D04586"/>
    <w:rsid w:val="00D05202"/>
    <w:rsid w:val="00D24CF0"/>
    <w:rsid w:val="00D46E91"/>
    <w:rsid w:val="00DF19A6"/>
    <w:rsid w:val="00DF4B6D"/>
    <w:rsid w:val="00E2203F"/>
    <w:rsid w:val="00E22AD7"/>
    <w:rsid w:val="00E25805"/>
    <w:rsid w:val="00E30071"/>
    <w:rsid w:val="00E55114"/>
    <w:rsid w:val="00E56EE9"/>
    <w:rsid w:val="00E66991"/>
    <w:rsid w:val="00E80EA6"/>
    <w:rsid w:val="00E872E9"/>
    <w:rsid w:val="00EA651A"/>
    <w:rsid w:val="00EF1E09"/>
    <w:rsid w:val="00EF2BE9"/>
    <w:rsid w:val="00F53DAD"/>
    <w:rsid w:val="00F54E96"/>
    <w:rsid w:val="00F73D71"/>
    <w:rsid w:val="00F8228D"/>
    <w:rsid w:val="00F94CD7"/>
    <w:rsid w:val="00FA7C72"/>
    <w:rsid w:val="00FB264C"/>
    <w:rsid w:val="00FB7420"/>
    <w:rsid w:val="01A348AF"/>
    <w:rsid w:val="27481BB3"/>
    <w:rsid w:val="27C2106B"/>
    <w:rsid w:val="30BF083E"/>
    <w:rsid w:val="49AC5A24"/>
    <w:rsid w:val="58CB4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hint="eastAsia" w:ascii="Calibri" w:hAnsi="Calibri" w:eastAsia="宋体" w:cs="Times New Roman"/>
      <w:b/>
      <w:kern w:val="44"/>
      <w:sz w:val="4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table" w:customStyle="1" w:styleId="12">
    <w:name w:val="网格表 3 - 着色 31"/>
    <w:basedOn w:val="6"/>
    <w:qFormat/>
    <w:uiPriority w:val="48"/>
    <w:rPr>
      <w:rFonts w:ascii="Times New Roman" w:hAnsi="Times New Roman" w:eastAsia="宋体" w:cs="Times New Roman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character" w:customStyle="1" w:styleId="13">
    <w:name w:val="标题 1 字符"/>
    <w:basedOn w:val="8"/>
    <w:link w:val="2"/>
    <w:qFormat/>
    <w:uiPriority w:val="9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637E14-6604-4FEE-AAEB-E5BC28C0BA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1707</Words>
  <Characters>1776</Characters>
  <Lines>14</Lines>
  <Paragraphs>4</Paragraphs>
  <TotalTime>131</TotalTime>
  <ScaleCrop>false</ScaleCrop>
  <LinksUpToDate>false</LinksUpToDate>
  <CharactersWithSpaces>1885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2024-02-25T03:48:00Z</dcterms:created>
  <dc:creator>jwk</dc:creator>
  <cp:lastModifiedBy>吱吱</cp:lastModifiedBy>
  <dcterms:modified xsi:type="dcterms:W3CDTF">2024-06-05T01:31:52Z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53D138BB96D748D69756D6AC1257383B_12</vt:lpwstr>
  </property>
</Properties>
</file>